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7B" w:rsidRDefault="008C517B" w:rsidP="0016378C">
      <w:pPr>
        <w:spacing w:after="0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  <w:bookmarkStart w:id="0" w:name="_GoBack"/>
      <w:bookmarkEnd w:id="0"/>
    </w:p>
    <w:p w:rsidR="004C719E" w:rsidRDefault="004C719E" w:rsidP="0016378C">
      <w:pPr>
        <w:spacing w:after="0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</w:p>
    <w:p w:rsidR="00E16E3B" w:rsidRDefault="008C517B" w:rsidP="0016378C">
      <w:pPr>
        <w:spacing w:after="0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  <w:r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ZPE/</w:t>
      </w:r>
      <w:r w:rsidR="00E16E3B"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022/22/KL/21</w:t>
      </w:r>
      <w:r w:rsidR="00403A0E"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ab/>
      </w:r>
      <w:r w:rsidR="00403A0E"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ab/>
      </w:r>
      <w:r w:rsidR="00403A0E"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ab/>
      </w:r>
      <w:r w:rsidR="00403A0E"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ab/>
      </w:r>
      <w:r w:rsidR="00403A0E"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ab/>
      </w:r>
      <w:r w:rsidR="00403A0E"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ab/>
      </w:r>
      <w:r w:rsidR="00403A0E"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ab/>
        <w:t xml:space="preserve">     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       </w:t>
      </w:r>
      <w:r w:rsidR="00403A0E"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Warszawa, 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8 lipca</w:t>
      </w:r>
      <w:r w:rsidR="00403A0E"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2021 r.</w:t>
      </w:r>
    </w:p>
    <w:p w:rsidR="004C719E" w:rsidRPr="00623C79" w:rsidRDefault="004C719E" w:rsidP="0016378C">
      <w:pPr>
        <w:spacing w:after="0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</w:p>
    <w:p w:rsidR="00E16E3B" w:rsidRPr="00623C79" w:rsidRDefault="00E16E3B" w:rsidP="004C719E">
      <w:pPr>
        <w:spacing w:after="0"/>
        <w:jc w:val="right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</w:p>
    <w:p w:rsidR="00403A0E" w:rsidRPr="00623C79" w:rsidRDefault="00403A0E" w:rsidP="004C719E">
      <w:pPr>
        <w:spacing w:after="0"/>
        <w:ind w:left="3544"/>
        <w:jc w:val="right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Szanowny Pan</w:t>
      </w:r>
    </w:p>
    <w:p w:rsidR="0016378C" w:rsidRPr="00623C79" w:rsidRDefault="0016378C" w:rsidP="004C719E">
      <w:pPr>
        <w:spacing w:after="0"/>
        <w:ind w:left="3544"/>
        <w:jc w:val="right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</w:p>
    <w:p w:rsidR="00E16E3B" w:rsidRPr="00623C79" w:rsidRDefault="00E16E3B" w:rsidP="004C719E">
      <w:pPr>
        <w:spacing w:after="0"/>
        <w:ind w:left="3544"/>
        <w:jc w:val="right"/>
        <w:rPr>
          <w:rFonts w:ascii="Calibri Light" w:eastAsia="Microsoft YaHei UI Light" w:hAnsi="Calibri Light" w:cs="Calibri Light"/>
          <w:sz w:val="32"/>
          <w:szCs w:val="32"/>
          <w:shd w:val="clear" w:color="auto" w:fill="FFFFFF"/>
        </w:rPr>
      </w:pPr>
      <w:r w:rsidRPr="00623C79">
        <w:rPr>
          <w:rFonts w:ascii="Calibri Light" w:eastAsia="Microsoft YaHei UI Light" w:hAnsi="Calibri Light" w:cs="Calibri Light"/>
          <w:sz w:val="32"/>
          <w:szCs w:val="32"/>
          <w:shd w:val="clear" w:color="auto" w:fill="FFFFFF"/>
        </w:rPr>
        <w:t>Michał Wójcik</w:t>
      </w:r>
    </w:p>
    <w:p w:rsidR="0016378C" w:rsidRPr="00623C79" w:rsidRDefault="0016378C" w:rsidP="004C719E">
      <w:pPr>
        <w:spacing w:after="0"/>
        <w:ind w:left="3544"/>
        <w:jc w:val="right"/>
        <w:rPr>
          <w:rFonts w:ascii="Calibri Light" w:eastAsia="Microsoft YaHei UI Light" w:hAnsi="Calibri Light" w:cs="Calibri Light"/>
          <w:shd w:val="clear" w:color="auto" w:fill="FFFFFF"/>
        </w:rPr>
      </w:pPr>
    </w:p>
    <w:p w:rsidR="00650022" w:rsidRPr="00623C79" w:rsidRDefault="00650022" w:rsidP="004C719E">
      <w:pPr>
        <w:spacing w:after="0"/>
        <w:ind w:left="3544"/>
        <w:jc w:val="right"/>
        <w:rPr>
          <w:rFonts w:ascii="Calibri Light" w:eastAsia="Microsoft YaHei UI Light" w:hAnsi="Calibri Light" w:cs="Calibri Light"/>
          <w:shd w:val="clear" w:color="auto" w:fill="FFFFFF"/>
        </w:rPr>
      </w:pPr>
      <w:r w:rsidRPr="00623C79">
        <w:rPr>
          <w:rFonts w:ascii="Calibri Light" w:eastAsia="Microsoft YaHei UI Light" w:hAnsi="Calibri Light" w:cs="Calibri Light"/>
          <w:shd w:val="clear" w:color="auto" w:fill="FFFFFF"/>
        </w:rPr>
        <w:t>Minister – członek Rady Ministrów</w:t>
      </w:r>
    </w:p>
    <w:p w:rsidR="00E16E3B" w:rsidRPr="00623C79" w:rsidRDefault="007C001C" w:rsidP="004C719E">
      <w:pPr>
        <w:spacing w:after="0"/>
        <w:ind w:left="3544"/>
        <w:jc w:val="right"/>
        <w:rPr>
          <w:rFonts w:ascii="Calibri Light" w:eastAsia="Microsoft YaHei UI Light" w:hAnsi="Calibri Light" w:cs="Calibri Light"/>
          <w:shd w:val="clear" w:color="auto" w:fill="FFFFFF"/>
        </w:rPr>
      </w:pPr>
      <w:r w:rsidRPr="00623C79">
        <w:rPr>
          <w:rFonts w:ascii="Calibri Light" w:eastAsia="Microsoft YaHei UI Light" w:hAnsi="Calibri Light" w:cs="Calibri Light"/>
          <w:shd w:val="clear" w:color="auto" w:fill="FFFFFF"/>
        </w:rPr>
        <w:t>Kancelaria Prezesa Rady Mi</w:t>
      </w:r>
      <w:r w:rsidR="00E16E3B" w:rsidRPr="00623C79">
        <w:rPr>
          <w:rFonts w:ascii="Calibri Light" w:eastAsia="Microsoft YaHei UI Light" w:hAnsi="Calibri Light" w:cs="Calibri Light"/>
          <w:shd w:val="clear" w:color="auto" w:fill="FFFFFF"/>
        </w:rPr>
        <w:t>ni</w:t>
      </w:r>
      <w:r w:rsidRPr="00623C79">
        <w:rPr>
          <w:rFonts w:ascii="Calibri Light" w:eastAsia="Microsoft YaHei UI Light" w:hAnsi="Calibri Light" w:cs="Calibri Light"/>
          <w:shd w:val="clear" w:color="auto" w:fill="FFFFFF"/>
        </w:rPr>
        <w:t>str</w:t>
      </w:r>
      <w:r w:rsidR="00E16E3B" w:rsidRPr="00623C79">
        <w:rPr>
          <w:rFonts w:ascii="Calibri Light" w:eastAsia="Microsoft YaHei UI Light" w:hAnsi="Calibri Light" w:cs="Calibri Light"/>
          <w:shd w:val="clear" w:color="auto" w:fill="FFFFFF"/>
        </w:rPr>
        <w:t xml:space="preserve">ów </w:t>
      </w:r>
    </w:p>
    <w:p w:rsidR="00403A0E" w:rsidRPr="00623C79" w:rsidRDefault="00403A0E" w:rsidP="0016378C">
      <w:pPr>
        <w:shd w:val="clear" w:color="auto" w:fill="FFFFFF"/>
        <w:spacing w:after="0"/>
        <w:jc w:val="both"/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</w:pPr>
    </w:p>
    <w:p w:rsidR="007C001C" w:rsidRPr="00623C79" w:rsidRDefault="007C001C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</w:pPr>
    </w:p>
    <w:p w:rsidR="00403A0E" w:rsidRPr="00623C79" w:rsidRDefault="007C001C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Związek Nauczycielstwa Polskiego przesyła o</w:t>
      </w:r>
      <w:r w:rsidR="00403A0E"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p</w:t>
      </w:r>
      <w:r w:rsidR="002A05E9"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inię</w:t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 xml:space="preserve"> w sprawie projektu ustawy </w:t>
      </w:r>
      <w:r w:rsidR="00403A0E" w:rsidRPr="00623C79">
        <w:rPr>
          <w:rFonts w:ascii="Calibri Light" w:eastAsia="Microsoft YaHei UI Light" w:hAnsi="Calibri Light" w:cs="Calibri Light"/>
          <w:i/>
          <w:sz w:val="20"/>
          <w:szCs w:val="20"/>
        </w:rPr>
        <w:t>o zmianie ustawy – Prawo o</w:t>
      </w:r>
      <w:r w:rsidRPr="00623C79">
        <w:rPr>
          <w:rFonts w:ascii="Calibri Light" w:eastAsia="Microsoft YaHei UI Light" w:hAnsi="Calibri Light" w:cs="Calibri Light"/>
          <w:i/>
          <w:sz w:val="20"/>
          <w:szCs w:val="20"/>
        </w:rPr>
        <w:t>ś</w:t>
      </w:r>
      <w:r w:rsidR="00403A0E" w:rsidRPr="00623C79">
        <w:rPr>
          <w:rFonts w:ascii="Calibri Light" w:eastAsia="Microsoft YaHei UI Light" w:hAnsi="Calibri Light" w:cs="Calibri Light"/>
          <w:i/>
          <w:sz w:val="20"/>
          <w:szCs w:val="20"/>
        </w:rPr>
        <w:t>wiatowe oraz niektórych innych ustaw</w:t>
      </w:r>
      <w:r w:rsidR="00403A0E" w:rsidRPr="00623C79">
        <w:rPr>
          <w:rFonts w:ascii="Calibri Light" w:eastAsia="Microsoft YaHei UI Light" w:hAnsi="Calibri Light" w:cs="Calibri Light"/>
          <w:sz w:val="20"/>
          <w:szCs w:val="20"/>
        </w:rPr>
        <w:t xml:space="preserve"> (projekt z dnia 15.06.2021 r.)</w:t>
      </w:r>
      <w:r w:rsidR="00450F18" w:rsidRPr="00450F18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</w:t>
      </w:r>
      <w:r w:rsidR="00450F18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– dalej </w:t>
      </w:r>
      <w:proofErr w:type="spellStart"/>
      <w:r w:rsidR="00450F18"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projekt.u.p.o</w:t>
      </w:r>
      <w:proofErr w:type="spellEnd"/>
      <w:r w:rsidR="00450F18"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b/>
          <w:bCs/>
          <w:sz w:val="20"/>
          <w:szCs w:val="20"/>
          <w:lang w:eastAsia="pl-PL"/>
        </w:rPr>
        <w:t>1.</w:t>
      </w:r>
      <w:r w:rsidRPr="00623C79">
        <w:rPr>
          <w:rFonts w:ascii="Calibri Light" w:eastAsia="Microsoft YaHei UI Light" w:hAnsi="Calibri Light" w:cs="Calibri Light"/>
          <w:b/>
          <w:bCs/>
          <w:sz w:val="20"/>
          <w:szCs w:val="20"/>
          <w:lang w:eastAsia="pl-PL"/>
        </w:rPr>
        <w:tab/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 xml:space="preserve">Projekt nowelizacji wprowadza m.in. do ustawy z dnia 14 grudnia 2016 r. Prawo oświatowe (tekst jedn. Dz.U. z 2021 r. poz. 1082 z późn.zm.) – dalej </w:t>
      </w:r>
      <w:proofErr w:type="spellStart"/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u.p.o</w:t>
      </w:r>
      <w:proofErr w:type="spellEnd"/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., normy karne w odniesieniu do osób pełniących funkcje kierownicze w szkole. Penalizacji podlega niedopełnienie lub przekroczenie uprawnień oraz wersja kwalifikowana</w:t>
      </w:r>
      <w:r w:rsidR="0016378C"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 xml:space="preserve"> odpowiedzialności,</w:t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 xml:space="preserve"> dotycząca skutków ww. przestępstwa w odniesieniu do zdrowia i życia uczniów.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Wprowadzenie norm karnych na gruncie ustaw wskazanych w treści nowelizacji jest sprzeczne z zasadami prawidłowej legislacji, a także stanowi nieuprawnioną ingerencję w dotychczasowe zasady polskiego systemu oświaty, opartego na autonomii szkół i decentralizacji wykonywania zadań publicznych.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</w:pPr>
    </w:p>
    <w:p w:rsidR="00403A0E" w:rsidRPr="00623C79" w:rsidRDefault="00403A0E" w:rsidP="008C517B">
      <w:pPr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b/>
          <w:bCs/>
          <w:sz w:val="20"/>
          <w:szCs w:val="20"/>
          <w:lang w:eastAsia="pl-PL"/>
        </w:rPr>
        <w:t>2.</w:t>
      </w:r>
      <w:r w:rsidRPr="00623C79">
        <w:rPr>
          <w:rFonts w:ascii="Calibri Light" w:eastAsia="Microsoft YaHei UI Light" w:hAnsi="Calibri Light" w:cs="Calibri Light"/>
          <w:b/>
          <w:bCs/>
          <w:sz w:val="20"/>
          <w:szCs w:val="20"/>
          <w:lang w:eastAsia="pl-PL"/>
        </w:rPr>
        <w:tab/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Zasady prawidłowej legislacji określa rozporządzenie Prezesa Rady Ministrów  z d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nia 20 czerwca 2002 r. </w:t>
      </w:r>
      <w:r w:rsidRPr="00623C79">
        <w:rPr>
          <w:rFonts w:ascii="Calibri Light" w:eastAsia="Microsoft YaHei UI Light" w:hAnsi="Calibri Light" w:cs="Calibri Light"/>
          <w:i/>
          <w:sz w:val="20"/>
          <w:szCs w:val="20"/>
          <w:lang w:eastAsia="pl-PL"/>
        </w:rPr>
        <w:t>w</w:t>
      </w:r>
      <w:r w:rsidRPr="00623C79">
        <w:rPr>
          <w:rFonts w:ascii="Calibri Light" w:eastAsia="Microsoft YaHei UI Light" w:hAnsi="Calibri Light" w:cs="Calibri Light"/>
          <w:bCs/>
          <w:i/>
          <w:sz w:val="20"/>
          <w:szCs w:val="20"/>
          <w:lang w:eastAsia="pl-PL"/>
        </w:rPr>
        <w:t xml:space="preserve"> sprawie "Zasad techniki prawodawczej"</w:t>
      </w:r>
      <w:r w:rsidRPr="00623C79">
        <w:rPr>
          <w:rFonts w:ascii="Calibri Light" w:eastAsia="Microsoft YaHei UI Light" w:hAnsi="Calibri Light" w:cs="Calibri Light"/>
          <w:b/>
          <w:bCs/>
          <w:sz w:val="20"/>
          <w:szCs w:val="20"/>
          <w:lang w:eastAsia="pl-PL"/>
        </w:rPr>
        <w:t xml:space="preserve"> </w:t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(tekst jedn.</w:t>
      </w:r>
      <w:r w:rsidRPr="00623C79">
        <w:rPr>
          <w:rFonts w:ascii="Calibri Light" w:eastAsia="Microsoft YaHei UI Light" w:hAnsi="Calibri Light" w:cs="Calibri Light"/>
          <w:b/>
          <w:bCs/>
          <w:sz w:val="20"/>
          <w:szCs w:val="20"/>
          <w:lang w:eastAsia="pl-PL"/>
        </w:rPr>
        <w:t xml:space="preserve"> 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Dz.U. z 2016 r. poz. 283 z późn.zm.) – dalej </w:t>
      </w:r>
      <w:proofErr w:type="spellStart"/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r.z.t.p</w:t>
      </w:r>
      <w:proofErr w:type="spellEnd"/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., </w:t>
      </w:r>
      <w:r w:rsidR="004C719E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                                 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a w zasadzie załącznik do ww. rozporządzenia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  <w:lang w:eastAsia="pl-PL"/>
        </w:rPr>
      </w:pP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 xml:space="preserve">Zgodnie z treścią §  4 ust. 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1 zał. </w:t>
      </w:r>
      <w:proofErr w:type="spellStart"/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r.z.t.p</w:t>
      </w:r>
      <w:proofErr w:type="spellEnd"/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.</w:t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 xml:space="preserve"> </w:t>
      </w:r>
      <w:r w:rsidRPr="00623C79">
        <w:rPr>
          <w:rFonts w:ascii="Calibri Light" w:eastAsia="Microsoft YaHei UI Light" w:hAnsi="Calibri Light" w:cs="Calibri Light"/>
          <w:b/>
          <w:bCs/>
          <w:sz w:val="20"/>
          <w:szCs w:val="20"/>
          <w:lang w:eastAsia="pl-PL"/>
        </w:rPr>
        <w:t>u</w:t>
      </w:r>
      <w:r w:rsidRPr="00623C79">
        <w:rPr>
          <w:rFonts w:ascii="Calibri Light" w:eastAsia="Microsoft YaHei UI Light" w:hAnsi="Calibri Light" w:cs="Calibri Light"/>
          <w:b/>
          <w:sz w:val="20"/>
          <w:szCs w:val="20"/>
          <w:lang w:eastAsia="pl-PL"/>
        </w:rPr>
        <w:t>stawa nie może powtarzać przepisów zamieszczonych w innych ustawach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.</w:t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 xml:space="preserve"> Ponadto w myśl § 28 zał. </w:t>
      </w:r>
      <w:proofErr w:type="spellStart"/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r.z.t.p</w:t>
      </w:r>
      <w:proofErr w:type="spellEnd"/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.</w:t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 xml:space="preserve"> </w:t>
      </w:r>
      <w:r w:rsidRPr="00623C79">
        <w:rPr>
          <w:rFonts w:ascii="Calibri Light" w:eastAsia="Microsoft YaHei UI Light" w:hAnsi="Calibri Light" w:cs="Calibri Light"/>
          <w:b/>
          <w:bCs/>
          <w:sz w:val="20"/>
          <w:szCs w:val="20"/>
          <w:lang w:eastAsia="pl-PL"/>
        </w:rPr>
        <w:t>p</w:t>
      </w:r>
      <w:r w:rsidRPr="00623C79">
        <w:rPr>
          <w:rFonts w:ascii="Calibri Light" w:eastAsia="Microsoft YaHei UI Light" w:hAnsi="Calibri Light" w:cs="Calibri Light"/>
          <w:b/>
          <w:sz w:val="20"/>
          <w:szCs w:val="20"/>
          <w:shd w:val="clear" w:color="auto" w:fill="FFFFFF"/>
          <w:lang w:eastAsia="pl-PL"/>
        </w:rPr>
        <w:t xml:space="preserve">rzepisy karne zamieszcza się tylko w przypadku, gdy naruszenie przepisów ustawy nie kwalifikuje się jako naruszenie przepisów </w:t>
      </w:r>
      <w:hyperlink r:id="rId7" w:anchor="/document/16798683?cm=DOCUMENT" w:history="1">
        <w:r w:rsidRPr="00623C79">
          <w:rPr>
            <w:rFonts w:ascii="Calibri Light" w:eastAsia="Microsoft YaHei UI Light" w:hAnsi="Calibri Light" w:cs="Calibri Light"/>
            <w:b/>
            <w:sz w:val="20"/>
            <w:szCs w:val="20"/>
            <w:lang w:eastAsia="pl-PL"/>
          </w:rPr>
          <w:t>Kodeksu karnego</w:t>
        </w:r>
      </w:hyperlink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  <w:lang w:eastAsia="pl-PL"/>
        </w:rPr>
        <w:t xml:space="preserve">, </w:t>
      </w:r>
      <w:hyperlink r:id="rId8" w:anchor="/document/16852901?cm=DOCUMENT" w:history="1">
        <w:r w:rsidRPr="00623C79">
          <w:rPr>
            <w:rFonts w:ascii="Calibri Light" w:eastAsia="Microsoft YaHei UI Light" w:hAnsi="Calibri Light" w:cs="Calibri Light"/>
            <w:sz w:val="20"/>
            <w:szCs w:val="20"/>
            <w:lang w:eastAsia="pl-PL"/>
          </w:rPr>
          <w:t>Kodeksu karnego skarbowego</w:t>
        </w:r>
      </w:hyperlink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  <w:lang w:eastAsia="pl-PL"/>
        </w:rPr>
        <w:t xml:space="preserve"> lub </w:t>
      </w:r>
      <w:hyperlink r:id="rId9" w:anchor="/document/16788218?cm=DOCUMENT" w:history="1">
        <w:r w:rsidRPr="00623C79">
          <w:rPr>
            <w:rFonts w:ascii="Calibri Light" w:eastAsia="Microsoft YaHei UI Light" w:hAnsi="Calibri Light" w:cs="Calibri Light"/>
            <w:sz w:val="20"/>
            <w:szCs w:val="20"/>
            <w:lang w:eastAsia="pl-PL"/>
          </w:rPr>
          <w:t>Kodeksu wykroczeń</w:t>
        </w:r>
      </w:hyperlink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  <w:lang w:eastAsia="pl-PL"/>
        </w:rPr>
        <w:t>, a czyn wymagający zagrożenia karą jest związany tylko z treścią tej ustawy.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W nauce prawa podnosi się, że przepis ustawy, którego treść została powtórzona w innej ustawie, obowiązuje, 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                    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a zatem tworzenie kolejnego przepisu tej samej rangi i tej samej treści byłoby sprzeczne z założeniem spójności systemu prawa. Można wyobrazić sobie np. zmianę lub uchylenie jednego z takich przepisów przy pozostawieniu innego (lub innych) w dotychczasowym brzmieniu. Osiągnięcie stanu prawnego, w którym występowałyby takie sytuacje, należałoby uznać za niedopuszczalne i wysoce szkodliwe, gdyż prowadzące do dysharmonii systemu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lastRenderedPageBreak/>
        <w:t>prawa (P.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Bielski [w:] T.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Bąkowski, K.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Kaszubowski, M.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Kokoszczyński, J.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</w:t>
      </w:r>
      <w:proofErr w:type="spellStart"/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Stelina</w:t>
      </w:r>
      <w:proofErr w:type="spellEnd"/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, J.K.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Warylewski, G.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Wierczyński,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                   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P.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Bielski, </w:t>
      </w:r>
      <w:r w:rsidRPr="00623C79">
        <w:rPr>
          <w:rFonts w:ascii="Calibri Light" w:eastAsia="Microsoft YaHei UI Light" w:hAnsi="Calibri Light" w:cs="Calibri Light"/>
          <w:i/>
          <w:iCs/>
          <w:sz w:val="20"/>
          <w:szCs w:val="20"/>
        </w:rPr>
        <w:t>Zasady techniki prawodawczej. Komentarz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, Warszawa 2003, Załącznik § 4).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Jeżeli istnieje już regulacja kodeksowa wprowadzająca dany zakaz karny,</w:t>
      </w:r>
      <w:r w:rsidRPr="00623C79">
        <w:rPr>
          <w:rFonts w:ascii="Calibri Light" w:eastAsia="Microsoft YaHei UI Light" w:hAnsi="Calibri Light" w:cs="Calibri Light"/>
          <w:b/>
          <w:sz w:val="20"/>
          <w:szCs w:val="20"/>
          <w:shd w:val="clear" w:color="auto" w:fill="FFFFFF"/>
        </w:rPr>
        <w:t xml:space="preserve"> jego powtórne (choćby bardziej szczegółowe) wprowadzenie jest zbędne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. Regulacje kodeksowe celowo są formułowane w sposób ogólny. Dzięki temu rzadziej wymagają nowelizacji. Niezmienność zakazów karnych sprzyja utrwalaniu się świadomości ich istnienia i w ten sposób, eliminując spośród naruszeń prawa te, do których doszło w wyniku nieznajomości zakazów karnych, przyczynia się do ich przestrzegania. Współcześnie podkreśla się, że tendencja do szczegółowej regulacji każdego ze zjawisk, z jakimi można się spotkać w życiu, narusza ogólną koncepcję polskiego prawa i zamiast do uproszczenia systemu tego prawa prowadzi do jego komplikowania, a to oznacza, że tworzenie w ustawach szczególnych nowych typów przestępstw, mimo że przepisy kodeksowe już penalizują naruszenia przepisów zawartych w tych ustawach, jest nie tylko zbędne, ale i szkodliwe (</w:t>
      </w:r>
      <w:proofErr w:type="spellStart"/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G.Wierczyński</w:t>
      </w:r>
      <w:proofErr w:type="spellEnd"/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[w:] </w:t>
      </w:r>
      <w:r w:rsidRPr="00623C79">
        <w:rPr>
          <w:rFonts w:ascii="Calibri Light" w:eastAsia="Microsoft YaHei UI Light" w:hAnsi="Calibri Light" w:cs="Calibri Light"/>
          <w:i/>
          <w:iCs/>
          <w:sz w:val="20"/>
          <w:szCs w:val="20"/>
        </w:rPr>
        <w:t>Komentarz do rozporządzenia w sprawie "Zasad techniki prawodawczej" [w:] Redagowanie i ogłaszanie aktów normatywnych. Komentarz, wyd. II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, Warszawa 2016, Załącznik § 28).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Zakaz ten znajduje swoje uzasadnienie w postulatach spójności i przejrzystości systemu prawa. Powtórzenia są normatywnie zbędne, ponieważ przepis powtarzany posiada moc obowiązującą niezależnie od zamieszczenia go w kolejnej ustawie. Mogłoby doprowadzić do stosowania ustawy w sposób sprzeczny z zamiarem ustawodawcy. Wreszcie stosowanie powtórzeń jest obarczone ryzykiem błędu powstałego wskutek niedokładności czy przypadkowej modyfikacji wpływającej na ostateczny sens przepisu (</w:t>
      </w:r>
      <w:proofErr w:type="spellStart"/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M.M.Dębska</w:t>
      </w:r>
      <w:proofErr w:type="spellEnd"/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[w:] </w:t>
      </w:r>
      <w:r w:rsidRPr="00623C79">
        <w:rPr>
          <w:rFonts w:ascii="Calibri Light" w:eastAsia="Microsoft YaHei UI Light" w:hAnsi="Calibri Light" w:cs="Calibri Light"/>
          <w:i/>
          <w:iCs/>
          <w:sz w:val="20"/>
          <w:szCs w:val="20"/>
        </w:rPr>
        <w:t>Zasady techniki prawodawczej. Komentarz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, Warszawa 2013, Załącznik § 28).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</w:p>
    <w:p w:rsidR="00403A0E" w:rsidRPr="00623C79" w:rsidRDefault="00403A0E" w:rsidP="008C517B">
      <w:pPr>
        <w:keepNext/>
        <w:keepLines/>
        <w:shd w:val="clear" w:color="auto" w:fill="FFFFFF"/>
        <w:spacing w:after="0" w:line="360" w:lineRule="auto"/>
        <w:jc w:val="both"/>
        <w:outlineLvl w:val="2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b/>
          <w:bCs/>
          <w:sz w:val="20"/>
          <w:szCs w:val="20"/>
          <w:shd w:val="clear" w:color="auto" w:fill="FFFFFF"/>
        </w:rPr>
        <w:t>3.</w:t>
      </w:r>
      <w:r w:rsidRPr="00623C79">
        <w:rPr>
          <w:rFonts w:ascii="Calibri Light" w:eastAsia="Microsoft YaHei UI Light" w:hAnsi="Calibri Light" w:cs="Calibri Light"/>
          <w:b/>
          <w:bCs/>
          <w:sz w:val="20"/>
          <w:szCs w:val="20"/>
          <w:shd w:val="clear" w:color="auto" w:fill="FFFFFF"/>
        </w:rPr>
        <w:tab/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shd w:val="clear" w:color="auto" w:fill="FFFFFF"/>
        </w:rPr>
        <w:t xml:space="preserve">Powyższe uwagi mają zastosowanie do omawianego projektu nowelizacji w zakresie art. 231 § 1 i 3 oraz art. 160 </w:t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§  1 i 2 ustawy 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z dnia 6 czerwca 1997 r. </w:t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Kodeks karny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(tekst jedn. Dz.U. z 2020 r. poz. 1444 z późn.zm.) – dalej k.k.</w:t>
      </w:r>
    </w:p>
    <w:p w:rsidR="00403A0E" w:rsidRPr="00623C79" w:rsidRDefault="00403A0E" w:rsidP="008C517B">
      <w:pPr>
        <w:keepNext/>
        <w:keepLines/>
        <w:shd w:val="clear" w:color="auto" w:fill="FFFFFF"/>
        <w:spacing w:after="0" w:line="360" w:lineRule="auto"/>
        <w:jc w:val="both"/>
        <w:outlineLvl w:val="1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Zgodnie z treścią art. 231 §  1 k.k. f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unkcjonariusz publiczny, który, przekraczając swoje uprawnienia lub nie dopełniając obowiązków, działa na szkodę interesu publicznego lub prywatnego - podlega karze pozbawienia wolności do lat 3. W myśl art. 231 </w:t>
      </w:r>
      <w:r w:rsidRPr="00623C79"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  <w:t>§  3. k.k. j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eżeli sprawca czynu określonego w § 1 działa nieumyślnie i wyrządza istotną szkodę - podlega grzywnie, karze ograniczenia wolności albo pozbawienia wolności do lat 2.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bCs/>
          <w:sz w:val="20"/>
          <w:szCs w:val="20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Z kolei na podstawie art. 160 § 1 i 2 k.k. kto naraża człowieka na bezpośrednie niebezpieczeństwo utraty życia albo ciężkiego uszczerbku na zdrowiu jeżeli ciąży na nim obowiązek opieki nad osobą narażoną na niebezpieczeństwo - podlega karze pozbawienia wolności od 3 miesięcy do lat 5.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Należy zauważyć, że dyspozycja i zagrożenie sankcją karna ww. norm Kodeksu karnego i przepisów karnych wprowadzonych w treści niniejszego projektu są identyczne.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</w:p>
    <w:p w:rsidR="00403A0E" w:rsidRPr="00623C79" w:rsidRDefault="00403A0E" w:rsidP="008C517B">
      <w:pPr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b/>
          <w:sz w:val="20"/>
          <w:szCs w:val="20"/>
          <w:lang w:eastAsia="pl-PL"/>
        </w:rPr>
        <w:lastRenderedPageBreak/>
        <w:t>4.</w:t>
      </w:r>
      <w:r w:rsidRPr="00623C79">
        <w:rPr>
          <w:rFonts w:ascii="Calibri Light" w:eastAsia="Microsoft YaHei UI Light" w:hAnsi="Calibri Light" w:cs="Calibri Light"/>
          <w:b/>
          <w:sz w:val="20"/>
          <w:szCs w:val="20"/>
          <w:lang w:eastAsia="pl-PL"/>
        </w:rPr>
        <w:tab/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Podnieść należy, że funkcja opiekuńcza szkoły jest jej podstawową funkcją. Nauczyciele, w tym nauczyciele-dyrektorzy, podlegają odpowiedzialności karnej </w:t>
      </w:r>
      <w:r w:rsidR="002A05E9"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na zasadach ogólnych 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z tytułu zaniechania prawidłowej opieki. </w:t>
      </w:r>
    </w:p>
    <w:p w:rsidR="00403A0E" w:rsidRPr="00623C79" w:rsidRDefault="00403A0E" w:rsidP="008C517B">
      <w:pPr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</w:p>
    <w:p w:rsidR="00403A0E" w:rsidRPr="00623C79" w:rsidRDefault="00403A0E" w:rsidP="008C517B">
      <w:pPr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</w:rPr>
        <w:t>Obowiązek sprawowania opieki i nadzoru oraz zapewnienia bezpieczeństwa ze strony szkoły dotyczy uczniów powierzonych funkcjonariuszom szkoły lub szkole jako całości. Obowiązek ten zachodzi więc w sytuacji, gdy uczniowie danej szkoły pozostają w dyspozycji nauczycieli lub administracji szkolnej, podczas lekcji, przerw mi</w:t>
      </w:r>
      <w:r w:rsidR="008C1722" w:rsidRPr="00623C79">
        <w:rPr>
          <w:rFonts w:ascii="Calibri Light" w:eastAsia="Microsoft YaHei UI Light" w:hAnsi="Calibri Light" w:cs="Calibri Light"/>
          <w:sz w:val="20"/>
          <w:szCs w:val="20"/>
        </w:rPr>
        <w:t>ę</w:t>
      </w:r>
      <w:r w:rsidRPr="00623C79">
        <w:rPr>
          <w:rFonts w:ascii="Calibri Light" w:eastAsia="Microsoft YaHei UI Light" w:hAnsi="Calibri Light" w:cs="Calibri Light"/>
          <w:sz w:val="20"/>
          <w:szCs w:val="20"/>
        </w:rPr>
        <w:t>dzylekcyjnych i innych zajęć zleconych przez szkołę (wyrok Sądu Najwyższego z dnia 3 stycznia 1974 r., II CR 643/73, OSP 1974/10/202). Do podstawowych obowiązków administracji szkolnej należy zapewnienie bezpieczeństwa młodzieży szkolnej w czasie jej przebywania w szkole (wyrok Sądu Najwyższego z dnia 16 stycznia 1974 r., II CR 482/73, OSNCP 1975, nr 2, poz. 26).</w:t>
      </w:r>
    </w:p>
    <w:p w:rsidR="00403A0E" w:rsidRPr="00623C79" w:rsidRDefault="00403A0E" w:rsidP="008C517B">
      <w:pPr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</w:p>
    <w:p w:rsidR="00403A0E" w:rsidRPr="00623C79" w:rsidRDefault="00403A0E" w:rsidP="008C517B">
      <w:pPr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Nie ma więc żadnych podstaw do tego, aby wprowadzać odrębną odpowiedzialność karną np. w ustawie Prawo oświatowe, dla wyselekcjonowanej grupy podmiotów, </w:t>
      </w:r>
      <w:r w:rsidR="00486687">
        <w:rPr>
          <w:rFonts w:ascii="Calibri Light" w:eastAsia="Microsoft YaHei UI Light" w:hAnsi="Calibri Light" w:cs="Calibri Light"/>
          <w:sz w:val="20"/>
          <w:szCs w:val="20"/>
          <w:lang w:eastAsia="pl-PL"/>
        </w:rPr>
        <w:t>ze względu na to, że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podmioty te objęte są odpowiedzialnoś</w:t>
      </w:r>
      <w:r w:rsidR="008C1722"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cią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karną, określoną w Kodeksie karnym.</w:t>
      </w:r>
    </w:p>
    <w:p w:rsidR="00403A0E" w:rsidRPr="00623C79" w:rsidRDefault="00403A0E" w:rsidP="008C517B">
      <w:pPr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</w:p>
    <w:p w:rsidR="00403A0E" w:rsidRPr="00623C79" w:rsidRDefault="00403A0E" w:rsidP="008C517B">
      <w:pPr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Zaniedbania w zakresie prawidłowego sprawowania opieki są sankcjonowane w art. 160 § 1 i 2 k.k. i obejmują swoim działaniem także nauczycieli i dyrektorów szkół. Nie ma więc żadnego uzasadnienia </w:t>
      </w:r>
      <w:r w:rsidR="00843280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normatywnego 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dla </w:t>
      </w:r>
      <w:r w:rsidR="00843280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konieczności 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wprowadzenia do treści ustawy Prawo oświatowe art. 188a</w:t>
      </w:r>
      <w:r w:rsidR="005863F1" w:rsidRPr="005863F1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</w:t>
      </w:r>
      <w:proofErr w:type="spellStart"/>
      <w:r w:rsidR="005863F1"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projekt.u.p.o</w:t>
      </w:r>
      <w:proofErr w:type="spellEnd"/>
      <w:r w:rsidR="005863F1"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.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. </w:t>
      </w:r>
    </w:p>
    <w:p w:rsidR="00403A0E" w:rsidRPr="00623C79" w:rsidRDefault="00403A0E" w:rsidP="008C517B">
      <w:pPr>
        <w:spacing w:after="0" w:line="360" w:lineRule="auto"/>
        <w:jc w:val="both"/>
        <w:rPr>
          <w:rFonts w:ascii="Calibri Light" w:eastAsia="Microsoft YaHei UI Light" w:hAnsi="Calibri Light" w:cs="Calibri Light"/>
          <w:b/>
          <w:sz w:val="20"/>
          <w:szCs w:val="20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b/>
          <w:sz w:val="20"/>
          <w:szCs w:val="20"/>
          <w:lang w:eastAsia="pl-PL"/>
        </w:rPr>
        <w:t>5.</w:t>
      </w:r>
      <w:r w:rsidRPr="00623C79">
        <w:rPr>
          <w:rFonts w:ascii="Calibri Light" w:eastAsia="Microsoft YaHei UI Light" w:hAnsi="Calibri Light" w:cs="Calibri Light"/>
          <w:b/>
          <w:sz w:val="20"/>
          <w:szCs w:val="20"/>
          <w:lang w:eastAsia="pl-PL"/>
        </w:rPr>
        <w:tab/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Odnośnie art. 231 k.k. i norm karnych z niniejszej nowelizacji należy zauważyć, że w zakresie podmiotowym istotnie nie występuje pełna zbieżność normatywna z</w:t>
      </w:r>
      <w:r w:rsidR="005863F1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projektowaną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treścią art. 188a, gdyż na gruncie orzeczniczym nauczyciele pełniący funkcje kierownicze nie są uznawani za funkcjonariuszy publicznych, objętych działaniem art. 231 k.k.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Natomiast nie oznacza to braku odpowiedzialności nauczycieli-dyrektorów z tytułu wadliwego sprawowania opieki nad uczniami, oraz kwalifikowanej odpowiedzialności karnej w sytuacji wystąpienia skutku w postaci narażenia zdrowia lub życia uczniów. </w:t>
      </w:r>
      <w:r w:rsidR="005863F1">
        <w:rPr>
          <w:rFonts w:ascii="Calibri Light" w:eastAsia="Microsoft YaHei UI Light" w:hAnsi="Calibri Light" w:cs="Calibri Light"/>
          <w:sz w:val="20"/>
          <w:szCs w:val="20"/>
          <w:lang w:eastAsia="pl-PL"/>
        </w:rPr>
        <w:t>T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aka odpowiedzialność </w:t>
      </w:r>
      <w:r w:rsidR="005863F1">
        <w:rPr>
          <w:rFonts w:ascii="Calibri Light" w:eastAsia="Microsoft YaHei UI Light" w:hAnsi="Calibri Light" w:cs="Calibri Light"/>
          <w:sz w:val="20"/>
          <w:szCs w:val="20"/>
          <w:lang w:eastAsia="pl-PL"/>
        </w:rPr>
        <w:t>n</w:t>
      </w:r>
      <w:r w:rsidR="005863F1"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adal 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zachodzi na podstawie art. 160 § 1 i 2 k.k.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Natomiast wprowadzenie do ustawy Prawo oświatowe normy w postaci art. 188a ust. 1 </w:t>
      </w:r>
      <w:proofErr w:type="spellStart"/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projekt.u.p.o</w:t>
      </w:r>
      <w:proofErr w:type="spellEnd"/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. ma na celu wprowadzenie odpowiedzialności nacechowanej subiektywną</w:t>
      </w:r>
      <w:r w:rsidR="00442B8D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i wartościującą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oceną działań</w:t>
      </w:r>
      <w:r w:rsidR="00442B8D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dyrektora - </w:t>
      </w:r>
      <w:r w:rsidR="004C719E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                                  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w oderwaniu od zobiektywizowanych instrumentów prawnych.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Na takie niebezpieczeństwo zwrócił uwagę Sąd Okręgowy w Olsztynie w wyroku z 2 lipca 2018 r., VII Ka 342/18 (LEX nr 2555864) stwierdzając, że art. 231 k.k. może być używany w sposób instrumentalny, gdy nie można postawić dyrektorowi innych zarzutów karnych. Sąd Okręgowy w wyroku uniewinniającym dyrektora szkoły podniósł, że 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a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naliza stawianych zarzutów dowodziła, że tak od strony przedmiotowej, </w:t>
      </w:r>
      <w:r w:rsidR="00442B8D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jak i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podmiotowej</w:t>
      </w:r>
      <w:r w:rsidR="00442B8D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,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nie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lastRenderedPageBreak/>
        <w:t>można było czynów zarzucanych oskarżonym zakwalifikować na innej podstawie prawnej niż tylko na podstawie art. 231 k.k.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Istnieje </w:t>
      </w:r>
      <w:r w:rsidR="00C26934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więc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poważnie niebezpieczeństwo podobnie instrumentalnego wykorzystywania art. 188a ust. 1 projekt. </w:t>
      </w:r>
      <w:proofErr w:type="spellStart"/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u.p.o</w:t>
      </w:r>
      <w:proofErr w:type="spellEnd"/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. do pociągania do odpowiedzialności karnej dyrektorów, którzy nie będą wystarczająco podlegli zewnętrznym wytycznym odnośnie ich działań. 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Należy w tym miejscu powtórzyć – nie oznacza to bezkarności dyrektorów szkół, którzy ponoszą odpowiedzialność karną na zasadach określonych w Kodeksie karnym, w tym takż</w:t>
      </w:r>
      <w:r w:rsidR="00C26934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e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>w zakresie zaniedbań w zakresie wykonywania funkcji opiekuńczej przez szkoły.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W tym miejscu należy zauważyć także, że dyrektorzy szkół podlegają odpowiedzialności dyscyplinarnej na zasadach ogólnych określonych w art. 75 – 85z ustawy z dnia 26 stycznia 1982 r. Karta Nauczyciela (tekst jedn. Dz.U. z 2019 r. poz. 2215 z późn.zm.). 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Ponadto dyrektorzy szkół mogą być odwołani z funkcji kierowniczej bez wypowiedzenia na podstawie art. 66 ust. 1 ustawy z dnia 14 grudnia 2016 r. Prawo oświatowe (tekst jedn. Dz.U. z 2021 r. poz. 1082 z późn.zm.) np. </w:t>
      </w:r>
      <w:r w:rsidR="004C719E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                                  </w:t>
      </w:r>
      <w:r w:rsidRPr="00623C79">
        <w:rPr>
          <w:rFonts w:ascii="Calibri Light" w:eastAsia="Microsoft YaHei UI Light" w:hAnsi="Calibri Light" w:cs="Calibri Light"/>
          <w:sz w:val="20"/>
          <w:szCs w:val="20"/>
          <w:shd w:val="clear" w:color="auto" w:fill="FFFFFF"/>
        </w:rPr>
        <w:t xml:space="preserve">w sytuacji negatywnej oceny pracy 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negatywnej oceny wykonywania zadań kierowniczych, złożenia wniosku </w:t>
      </w:r>
      <w:r w:rsidR="004C719E">
        <w:rPr>
          <w:rFonts w:ascii="Calibri Light" w:eastAsia="Microsoft YaHei UI Light" w:hAnsi="Calibri Light" w:cs="Calibri Light"/>
          <w:sz w:val="20"/>
          <w:szCs w:val="20"/>
          <w:lang w:eastAsia="pl-PL"/>
        </w:rPr>
        <w:t xml:space="preserve">                              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o odwołanie przez kuratora oświaty czy też w tzw. przypadkach szczególnie uzasadnionych, po zasięgnięciu opinii kuratora oświaty.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  <w:r w:rsidRPr="00623C79">
        <w:rPr>
          <w:rFonts w:ascii="Calibri Light" w:eastAsia="Microsoft YaHei UI Light" w:hAnsi="Calibri Light" w:cs="Calibri Light"/>
          <w:b/>
          <w:sz w:val="20"/>
          <w:szCs w:val="20"/>
          <w:lang w:eastAsia="pl-PL"/>
        </w:rPr>
        <w:t>6.</w:t>
      </w: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ab/>
        <w:t>To wszystko prowadzi do wniosku, że niniejszy projekt ma na celu wprowadzenie instytucji pozaprawnego i pozamerytorycznego wywierania nacisku na działania podejmowane w ramach czynności zarządczych przez dyrektora szkoły.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  <w:lang w:eastAsia="pl-PL"/>
        </w:rPr>
      </w:pPr>
    </w:p>
    <w:p w:rsidR="00841A86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  <w:lang w:eastAsia="pl-PL"/>
        </w:rPr>
        <w:t>W uzasadnieniu podnosi się, że „</w:t>
      </w:r>
      <w:r w:rsidRPr="00623C79">
        <w:rPr>
          <w:rFonts w:ascii="Calibri Light" w:eastAsia="Microsoft YaHei UI Light" w:hAnsi="Calibri Light" w:cs="Calibri Light"/>
          <w:i/>
          <w:sz w:val="20"/>
          <w:szCs w:val="20"/>
          <w:lang w:eastAsia="pl-PL"/>
        </w:rPr>
        <w:t>n</w:t>
      </w:r>
      <w:r w:rsidRPr="00623C79">
        <w:rPr>
          <w:rFonts w:ascii="Calibri Light" w:eastAsia="Microsoft YaHei UI Light" w:hAnsi="Calibri Light" w:cs="Calibri Light"/>
          <w:i/>
          <w:sz w:val="20"/>
          <w:szCs w:val="20"/>
        </w:rPr>
        <w:t xml:space="preserve">ależy bowiem </w:t>
      </w:r>
      <w:r w:rsidRPr="00623C79">
        <w:rPr>
          <w:rFonts w:ascii="Calibri Light" w:eastAsia="Microsoft YaHei UI Light" w:hAnsi="Calibri Light" w:cs="Calibri Light"/>
          <w:i/>
          <w:sz w:val="20"/>
          <w:szCs w:val="20"/>
          <w:lang w:eastAsia="pl-PL"/>
        </w:rPr>
        <w:t>podjąć niezwłoczne działania legislacyjne zmierzające do zlikwidowania luki</w:t>
      </w:r>
      <w:r w:rsidRPr="00623C79">
        <w:rPr>
          <w:rFonts w:ascii="Calibri Light" w:eastAsia="Microsoft YaHei UI Light" w:hAnsi="Calibri Light" w:cs="Calibri Light"/>
          <w:i/>
          <w:sz w:val="20"/>
          <w:szCs w:val="20"/>
        </w:rPr>
        <w:t xml:space="preserve"> prawnej powodującej </w:t>
      </w:r>
      <w:r w:rsidRPr="00623C79">
        <w:rPr>
          <w:rFonts w:ascii="Calibri Light" w:eastAsia="Microsoft YaHei UI Light" w:hAnsi="Calibri Light" w:cs="Calibri Light"/>
          <w:i/>
          <w:sz w:val="20"/>
          <w:szCs w:val="20"/>
          <w:lang w:eastAsia="pl-PL"/>
        </w:rPr>
        <w:t>bezkarność ww. osób, które kierując placówką i odpowiadając za opiekę nad dziećmi, nie realizują prawidłowo swoich obowiązków, działając na szkodę małoletnich</w:t>
      </w:r>
      <w:r w:rsidRPr="00623C79">
        <w:rPr>
          <w:rFonts w:ascii="Calibri Light" w:eastAsia="Microsoft YaHei UI Light" w:hAnsi="Calibri Light" w:cs="Calibri Light"/>
          <w:sz w:val="20"/>
          <w:szCs w:val="20"/>
        </w:rPr>
        <w:t xml:space="preserve">”. </w:t>
      </w:r>
    </w:p>
    <w:p w:rsidR="00841A86" w:rsidRDefault="00841A86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</w:rPr>
        <w:t>Takie uzasadnienie nosi wszelkie znamiona potwarzy, zniesławienia i naruszenia godności zawodu nauczyciela.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</w:rPr>
        <w:t xml:space="preserve">Z uzasadnienia wynika teza, jakoby bezkarność dyrektorów szkół była nagminna, naruszenia zasad opieki powszechne, a ww. zaniedbania były ignorowane przez organy prowadzące, przez kuratorów i prokuraturę. Taka teza nie dość, że nie znajduje potwierdzenia w rzeczywistości, to także jest po prostu nieprawdziwa i krzywdząca. 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</w:rPr>
        <w:t xml:space="preserve">Nie zostały wskazane przypadki naruszenia prawa, które uzasadniałyby wprowadzenie zmian, nie jest znana także skala zjawiska. Z doniesień medialnych cytujących wypowiedzi Ministra Edukacji i Nauki wynika, że </w:t>
      </w:r>
      <w:r w:rsidRPr="00623C79">
        <w:rPr>
          <w:rFonts w:ascii="Calibri Light" w:eastAsia="Microsoft YaHei UI Light" w:hAnsi="Calibri Light" w:cs="Calibri Light"/>
          <w:sz w:val="20"/>
          <w:szCs w:val="20"/>
        </w:rPr>
        <w:lastRenderedPageBreak/>
        <w:t xml:space="preserve">przedmiotowa nowelizacja może być związana z dążeniem do zideologizowania światopoglądowego szkół i nie ma nic wspólnego z wprowadzeniem lepszych standardów funkcjonowania oświaty. 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</w:rPr>
      </w:pP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</w:rPr>
      </w:pPr>
      <w:r w:rsidRPr="00623C79">
        <w:rPr>
          <w:rFonts w:ascii="Calibri Light" w:eastAsia="Microsoft YaHei UI Light" w:hAnsi="Calibri Light" w:cs="Calibri Light"/>
          <w:sz w:val="20"/>
          <w:szCs w:val="20"/>
        </w:rPr>
        <w:t>Na marginesie mówiąc wprowadzanie norm karnych do ustawy organizacyjnej, jaką jest ustawa Prawo oświatowe, również wskazuje, że projektodawca miał na celu wprowadzenie instrumentów dyscyplinujących</w:t>
      </w:r>
      <w:r w:rsidR="00841A86">
        <w:rPr>
          <w:rFonts w:ascii="Calibri Light" w:eastAsia="Microsoft YaHei UI Light" w:hAnsi="Calibri Light" w:cs="Calibri Light"/>
          <w:sz w:val="20"/>
          <w:szCs w:val="20"/>
        </w:rPr>
        <w:t xml:space="preserve"> („mrożących”)</w:t>
      </w:r>
      <w:r w:rsidRPr="00623C79">
        <w:rPr>
          <w:rFonts w:ascii="Calibri Light" w:eastAsia="Microsoft YaHei UI Light" w:hAnsi="Calibri Light" w:cs="Calibri Light"/>
          <w:sz w:val="20"/>
          <w:szCs w:val="20"/>
        </w:rPr>
        <w:t xml:space="preserve">, odbierających oświacie autonomię i będących w sprzeczności z zasadą decentralizacji wykonywania zadań państwa.  </w:t>
      </w:r>
    </w:p>
    <w:p w:rsidR="00403A0E" w:rsidRPr="00623C79" w:rsidRDefault="00403A0E" w:rsidP="008C517B">
      <w:pPr>
        <w:shd w:val="clear" w:color="auto" w:fill="FFFFFF"/>
        <w:spacing w:after="0" w:line="360" w:lineRule="auto"/>
        <w:jc w:val="both"/>
        <w:rPr>
          <w:rFonts w:ascii="Calibri Light" w:eastAsia="Microsoft YaHei UI Light" w:hAnsi="Calibri Light" w:cs="Calibri Light"/>
          <w:sz w:val="20"/>
          <w:szCs w:val="20"/>
        </w:rPr>
      </w:pPr>
    </w:p>
    <w:p w:rsidR="00403A0E" w:rsidRDefault="002558FA" w:rsidP="004C719E">
      <w:pPr>
        <w:spacing w:after="0" w:line="360" w:lineRule="auto"/>
        <w:jc w:val="right"/>
        <w:rPr>
          <w:rFonts w:ascii="Calibri Light" w:eastAsia="Microsoft YaHei UI Light" w:hAnsi="Calibri Light" w:cs="Calibri Light"/>
          <w:sz w:val="20"/>
          <w:szCs w:val="20"/>
        </w:rPr>
      </w:pPr>
      <w:r>
        <w:rPr>
          <w:rFonts w:ascii="Calibri Light" w:eastAsia="Microsoft YaHei UI Light" w:hAnsi="Calibri Light" w:cs="Calibri Light"/>
          <w:sz w:val="20"/>
          <w:szCs w:val="20"/>
        </w:rPr>
        <w:t xml:space="preserve">Z poważaniem </w:t>
      </w:r>
    </w:p>
    <w:p w:rsidR="00714548" w:rsidRDefault="00714548" w:rsidP="004C719E">
      <w:pPr>
        <w:spacing w:after="0" w:line="360" w:lineRule="auto"/>
        <w:jc w:val="right"/>
        <w:rPr>
          <w:rFonts w:ascii="Calibri Light" w:eastAsia="Microsoft YaHei UI Light" w:hAnsi="Calibri Light" w:cs="Calibri Light"/>
          <w:sz w:val="20"/>
          <w:szCs w:val="20"/>
        </w:rPr>
      </w:pPr>
    </w:p>
    <w:p w:rsidR="00714548" w:rsidRDefault="00714548" w:rsidP="004C719E">
      <w:pPr>
        <w:spacing w:after="0" w:line="360" w:lineRule="auto"/>
        <w:jc w:val="right"/>
        <w:rPr>
          <w:rFonts w:ascii="Calibri Light" w:eastAsia="Microsoft YaHei UI Light" w:hAnsi="Calibri Light" w:cs="Calibri Light"/>
          <w:sz w:val="20"/>
          <w:szCs w:val="20"/>
        </w:rPr>
      </w:pPr>
      <w:r>
        <w:rPr>
          <w:rFonts w:ascii="Calibri Light" w:eastAsia="Microsoft YaHei UI Light" w:hAnsi="Calibri Light" w:cs="Calibri Light"/>
          <w:sz w:val="20"/>
          <w:szCs w:val="20"/>
        </w:rPr>
        <w:t>Wiceprezes ZG ZNP</w:t>
      </w:r>
    </w:p>
    <w:p w:rsidR="00714548" w:rsidRPr="00623C79" w:rsidRDefault="00714548" w:rsidP="004C719E">
      <w:pPr>
        <w:spacing w:after="0" w:line="360" w:lineRule="auto"/>
        <w:jc w:val="right"/>
        <w:rPr>
          <w:rFonts w:ascii="Calibri Light" w:eastAsia="Microsoft YaHei UI Light" w:hAnsi="Calibri Light" w:cs="Calibri Light"/>
          <w:sz w:val="20"/>
          <w:szCs w:val="20"/>
        </w:rPr>
      </w:pPr>
      <w:r>
        <w:rPr>
          <w:rFonts w:ascii="Calibri Light" w:eastAsia="Microsoft YaHei UI Light" w:hAnsi="Calibri Light" w:cs="Calibri Light"/>
          <w:sz w:val="20"/>
          <w:szCs w:val="20"/>
        </w:rPr>
        <w:t xml:space="preserve">- </w:t>
      </w:r>
      <w:r w:rsidRPr="00714548">
        <w:rPr>
          <w:rFonts w:ascii="Calibri Light" w:eastAsia="Microsoft YaHei UI Light" w:hAnsi="Calibri Light" w:cs="Calibri Light"/>
          <w:i/>
          <w:sz w:val="20"/>
          <w:szCs w:val="20"/>
        </w:rPr>
        <w:t>Krzysztof Baszczyński</w:t>
      </w:r>
      <w:r>
        <w:rPr>
          <w:rFonts w:ascii="Calibri Light" w:eastAsia="Microsoft YaHei UI Light" w:hAnsi="Calibri Light" w:cs="Calibri Light"/>
          <w:sz w:val="20"/>
          <w:szCs w:val="20"/>
        </w:rPr>
        <w:t xml:space="preserve"> -</w:t>
      </w:r>
    </w:p>
    <w:p w:rsidR="000D5399" w:rsidRPr="00623C79" w:rsidRDefault="000D5399" w:rsidP="008C517B">
      <w:pPr>
        <w:spacing w:after="0" w:line="360" w:lineRule="auto"/>
        <w:rPr>
          <w:rFonts w:ascii="Calibri Light" w:eastAsia="Microsoft YaHei UI Light" w:hAnsi="Calibri Light" w:cs="Calibri Light"/>
          <w:sz w:val="20"/>
          <w:szCs w:val="20"/>
        </w:rPr>
      </w:pPr>
    </w:p>
    <w:p w:rsidR="00623C79" w:rsidRPr="00623C79" w:rsidRDefault="00623C79" w:rsidP="008C517B">
      <w:pPr>
        <w:spacing w:after="0" w:line="360" w:lineRule="auto"/>
        <w:rPr>
          <w:rFonts w:ascii="Calibri Light" w:eastAsia="Microsoft YaHei UI Light" w:hAnsi="Calibri Light" w:cs="Calibri Light"/>
          <w:sz w:val="20"/>
          <w:szCs w:val="20"/>
        </w:rPr>
      </w:pPr>
    </w:p>
    <w:sectPr w:rsidR="00623C79" w:rsidRPr="00623C79" w:rsidSect="00CC26B3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D6" w:rsidRDefault="005265D6" w:rsidP="00623C79">
      <w:pPr>
        <w:spacing w:after="0" w:line="240" w:lineRule="auto"/>
      </w:pPr>
      <w:r>
        <w:separator/>
      </w:r>
    </w:p>
  </w:endnote>
  <w:endnote w:type="continuationSeparator" w:id="0">
    <w:p w:rsidR="005265D6" w:rsidRDefault="005265D6" w:rsidP="0062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 UI Light"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842729"/>
      <w:docPartObj>
        <w:docPartGallery w:val="Page Numbers (Bottom of Page)"/>
        <w:docPartUnique/>
      </w:docPartObj>
    </w:sdtPr>
    <w:sdtEndPr/>
    <w:sdtContent>
      <w:p w:rsidR="00623C79" w:rsidRDefault="00623C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51">
          <w:rPr>
            <w:noProof/>
          </w:rPr>
          <w:t>1</w:t>
        </w:r>
        <w:r>
          <w:fldChar w:fldCharType="end"/>
        </w:r>
      </w:p>
    </w:sdtContent>
  </w:sdt>
  <w:p w:rsidR="00623C79" w:rsidRDefault="00623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D6" w:rsidRDefault="005265D6" w:rsidP="00623C79">
      <w:pPr>
        <w:spacing w:after="0" w:line="240" w:lineRule="auto"/>
      </w:pPr>
      <w:r>
        <w:separator/>
      </w:r>
    </w:p>
  </w:footnote>
  <w:footnote w:type="continuationSeparator" w:id="0">
    <w:p w:rsidR="005265D6" w:rsidRDefault="005265D6" w:rsidP="00623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3B"/>
    <w:rsid w:val="000B6CD0"/>
    <w:rsid w:val="000D123C"/>
    <w:rsid w:val="000D5399"/>
    <w:rsid w:val="000F3C6B"/>
    <w:rsid w:val="0016378C"/>
    <w:rsid w:val="001B75CA"/>
    <w:rsid w:val="002558FA"/>
    <w:rsid w:val="002A05E9"/>
    <w:rsid w:val="00351E07"/>
    <w:rsid w:val="0036664C"/>
    <w:rsid w:val="00403A0E"/>
    <w:rsid w:val="00442B8D"/>
    <w:rsid w:val="00450F18"/>
    <w:rsid w:val="00486687"/>
    <w:rsid w:val="004C719E"/>
    <w:rsid w:val="005265D6"/>
    <w:rsid w:val="00561F51"/>
    <w:rsid w:val="005863F1"/>
    <w:rsid w:val="00623C79"/>
    <w:rsid w:val="00650022"/>
    <w:rsid w:val="00714548"/>
    <w:rsid w:val="00720E7A"/>
    <w:rsid w:val="007C001C"/>
    <w:rsid w:val="00841A86"/>
    <w:rsid w:val="00843280"/>
    <w:rsid w:val="008C1722"/>
    <w:rsid w:val="008C517B"/>
    <w:rsid w:val="009E7020"/>
    <w:rsid w:val="00C26934"/>
    <w:rsid w:val="00C85F20"/>
    <w:rsid w:val="00CC26B3"/>
    <w:rsid w:val="00E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C79"/>
  </w:style>
  <w:style w:type="paragraph" w:styleId="Stopka">
    <w:name w:val="footer"/>
    <w:basedOn w:val="Normalny"/>
    <w:link w:val="StopkaZnak"/>
    <w:uiPriority w:val="99"/>
    <w:unhideWhenUsed/>
    <w:rsid w:val="0062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C79"/>
  </w:style>
  <w:style w:type="paragraph" w:styleId="Tekstdymka">
    <w:name w:val="Balloon Text"/>
    <w:basedOn w:val="Normalny"/>
    <w:link w:val="TekstdymkaZnak"/>
    <w:uiPriority w:val="99"/>
    <w:semiHidden/>
    <w:unhideWhenUsed/>
    <w:rsid w:val="004C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C79"/>
  </w:style>
  <w:style w:type="paragraph" w:styleId="Stopka">
    <w:name w:val="footer"/>
    <w:basedOn w:val="Normalny"/>
    <w:link w:val="StopkaZnak"/>
    <w:uiPriority w:val="99"/>
    <w:unhideWhenUsed/>
    <w:rsid w:val="0062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C79"/>
  </w:style>
  <w:style w:type="paragraph" w:styleId="Tekstdymka">
    <w:name w:val="Balloon Text"/>
    <w:basedOn w:val="Normalny"/>
    <w:link w:val="TekstdymkaZnak"/>
    <w:uiPriority w:val="99"/>
    <w:semiHidden/>
    <w:unhideWhenUsed/>
    <w:rsid w:val="004C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Lisowski</dc:creator>
  <cp:lastModifiedBy>user</cp:lastModifiedBy>
  <cp:revision>2</cp:revision>
  <cp:lastPrinted>2021-11-17T11:27:00Z</cp:lastPrinted>
  <dcterms:created xsi:type="dcterms:W3CDTF">2021-11-17T11:28:00Z</dcterms:created>
  <dcterms:modified xsi:type="dcterms:W3CDTF">2021-11-17T11:28:00Z</dcterms:modified>
</cp:coreProperties>
</file>